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94" w:rsidRPr="00570156" w:rsidRDefault="00752094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  <w:shd w:val="clear" w:color="auto" w:fill="FFFF99"/>
        </w:rPr>
      </w:pPr>
      <w:r w:rsidRPr="00570156">
        <w:rPr>
          <w:rFonts w:ascii="Calibri" w:eastAsia="Calibri" w:hAnsi="Calibri"/>
          <w:kern w:val="1"/>
          <w:sz w:val="22"/>
          <w:szCs w:val="22"/>
          <w:lang w:eastAsia="ar-SA"/>
        </w:rPr>
        <w:t>Titolo PROGETTO</w:t>
      </w:r>
      <w:r w:rsidRPr="00570156">
        <w:rPr>
          <w:rFonts w:ascii="Calibri" w:hAnsi="Calibri"/>
          <w:sz w:val="22"/>
          <w:szCs w:val="22"/>
        </w:rPr>
        <w:t xml:space="preserve">: </w:t>
      </w:r>
    </w:p>
    <w:p w:rsidR="00752094" w:rsidRPr="00570156" w:rsidRDefault="00752094" w:rsidP="00752094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570156">
        <w:rPr>
          <w:rFonts w:ascii="Calibri" w:eastAsia="Calibri" w:hAnsi="Calibri"/>
          <w:i/>
          <w:sz w:val="22"/>
          <w:szCs w:val="22"/>
          <w:lang w:eastAsia="en-US"/>
        </w:rPr>
        <w:t>Le conseguenze economiche della pandemia COVID-19</w:t>
      </w:r>
    </w:p>
    <w:p w:rsidR="00752094" w:rsidRPr="00570156" w:rsidRDefault="00752094" w:rsidP="0075209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0156">
        <w:rPr>
          <w:rFonts w:ascii="Calibri" w:eastAsia="Calibri" w:hAnsi="Calibri"/>
          <w:sz w:val="22"/>
          <w:szCs w:val="22"/>
          <w:lang w:eastAsia="en-US"/>
        </w:rPr>
        <w:t>La proposta di assegno di ricerca mira innanzitutto a fornire un supporto metodologico e tecnico ai progetti di ricerca che gli studiosi del settore SECS-S03 afferenti al Dipar</w:t>
      </w:r>
      <w:r>
        <w:rPr>
          <w:rFonts w:ascii="Calibri" w:eastAsia="Calibri" w:hAnsi="Calibri"/>
          <w:sz w:val="22"/>
          <w:szCs w:val="22"/>
          <w:lang w:eastAsia="en-US"/>
        </w:rPr>
        <w:t>t</w:t>
      </w:r>
      <w:r w:rsidRPr="00570156">
        <w:rPr>
          <w:rFonts w:ascii="Calibri" w:eastAsia="Calibri" w:hAnsi="Calibri"/>
          <w:sz w:val="22"/>
          <w:szCs w:val="22"/>
          <w:lang w:eastAsia="en-US"/>
        </w:rPr>
        <w:t>imento intendono sviluppare nei prossimi anni.</w:t>
      </w:r>
    </w:p>
    <w:p w:rsidR="00752094" w:rsidRPr="00570156" w:rsidRDefault="00752094" w:rsidP="0075209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E’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del tutto</w:t>
      </w:r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ovvio ricordare la portata dell’impatto della pandemia sulla struttura della società e sui comportamenti delle famiglie, delle imprese e del settore pubblico. Del resto, è ben noto che le epidemie sono state uno dei “motori” della storia, come hanno messo in luce innumerevoli studi </w:t>
      </w:r>
      <w:proofErr w:type="spellStart"/>
      <w:r w:rsidRPr="00570156">
        <w:rPr>
          <w:rFonts w:ascii="Calibri" w:eastAsia="Calibri" w:hAnsi="Calibri"/>
          <w:sz w:val="22"/>
          <w:szCs w:val="22"/>
          <w:lang w:eastAsia="en-US"/>
        </w:rPr>
        <w:t>studi</w:t>
      </w:r>
      <w:proofErr w:type="spell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antropologici e storici (da Gaetano Salvemini a Jared Diamond). Meno ovvio, è riuscire a discernere le direzioni del cambiamento.</w:t>
      </w:r>
    </w:p>
    <w:p w:rsidR="00752094" w:rsidRPr="00570156" w:rsidRDefault="00752094" w:rsidP="0075209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0156">
        <w:rPr>
          <w:rFonts w:ascii="Calibri" w:eastAsia="Calibri" w:hAnsi="Calibri"/>
          <w:sz w:val="22"/>
          <w:szCs w:val="22"/>
          <w:lang w:eastAsia="en-US"/>
        </w:rPr>
        <w:t>Le ricerche che saranno intraprese ed a cui il titolare dell’assegno potrà/dovrà collaborare saranno essenzialmente di carattere esplorativo, poiché è ragionevole pensare che le teorie prevalenti sia macro che micro siano in parte superate dai fatti  e che ciò comporti l’origine di “nuovi paradigmi”, legati sia  ad ristrutturazione del sistema delle preferenze dei cittadini, sia al processo innovativo (tecnico e sociale) guidato dallo Stato e dalle imprese sia alla ridefinizione della divisione internazionale della produzione.</w:t>
      </w:r>
    </w:p>
    <w:p w:rsidR="00752094" w:rsidRPr="00570156" w:rsidRDefault="00752094" w:rsidP="00752094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Da ciò derivano due conseguenze: la prima attiene alle fonti statistiche d’informazione utilizzabili, la seconda alle tecniche statistiche da utilizzare. Per quanto riguarda il primo punto, </w:t>
      </w:r>
      <w:proofErr w:type="gramStart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le </w:t>
      </w:r>
      <w:proofErr w:type="spellStart"/>
      <w:r w:rsidRPr="00570156">
        <w:rPr>
          <w:rFonts w:ascii="Calibri" w:eastAsia="Calibri" w:hAnsi="Calibri"/>
          <w:sz w:val="22"/>
          <w:szCs w:val="22"/>
          <w:lang w:eastAsia="en-US"/>
        </w:rPr>
        <w:t>indagine</w:t>
      </w:r>
      <w:proofErr w:type="spellEnd"/>
      <w:proofErr w:type="gram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statistiche classiche, basate su rigorosi campioni probabilistici (quali quelle dell’Istat e della Banca d’Italia), sono troppo “lente” per cogliere i mutamenti nel loro divenire. Di qui la necessità di fare ricorso sia a fonti statistiche private ad alta frequenza (Nielsen, GFK-Sinottica, etc.) sia a fonti non tradizionali (Google, </w:t>
      </w:r>
      <w:proofErr w:type="spellStart"/>
      <w:r w:rsidRPr="00570156">
        <w:rPr>
          <w:rFonts w:ascii="Calibri" w:eastAsia="Calibri" w:hAnsi="Calibri"/>
          <w:sz w:val="22"/>
          <w:szCs w:val="22"/>
          <w:lang w:eastAsia="en-US"/>
        </w:rPr>
        <w:t>Facebook</w:t>
      </w:r>
      <w:proofErr w:type="spell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, etc.). La seconda conseguenza è legata alla prima, in quanto si dovrà far ricorso in modo ampio a tecniche di data </w:t>
      </w:r>
      <w:proofErr w:type="spellStart"/>
      <w:r w:rsidRPr="00570156">
        <w:rPr>
          <w:rFonts w:ascii="Calibri" w:eastAsia="Calibri" w:hAnsi="Calibri"/>
          <w:sz w:val="22"/>
          <w:szCs w:val="22"/>
          <w:lang w:eastAsia="en-US"/>
        </w:rPr>
        <w:t>mining</w:t>
      </w:r>
      <w:proofErr w:type="spellEnd"/>
      <w:r w:rsidRPr="00570156">
        <w:rPr>
          <w:rFonts w:ascii="Calibri" w:eastAsia="Calibri" w:hAnsi="Calibri"/>
          <w:sz w:val="22"/>
          <w:szCs w:val="22"/>
          <w:lang w:eastAsia="en-US"/>
        </w:rPr>
        <w:t xml:space="preserve"> e di gestione di grandi database.</w:t>
      </w:r>
    </w:p>
    <w:p w:rsidR="00752094" w:rsidRPr="00570156" w:rsidRDefault="00752094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570156">
        <w:rPr>
          <w:rFonts w:ascii="Calibri" w:eastAsia="Calibri" w:hAnsi="Calibri"/>
          <w:sz w:val="22"/>
          <w:szCs w:val="22"/>
          <w:lang w:eastAsia="en-US"/>
        </w:rPr>
        <w:t>Si richiede quindi al candidato di formulare un progetto di ricerca che tenga conto delle linee guida appena ricordate.</w:t>
      </w:r>
    </w:p>
    <w:p w:rsidR="00752094" w:rsidRDefault="00752094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7E723F">
        <w:rPr>
          <w:rFonts w:ascii="Calibri" w:eastAsia="Calibri" w:hAnsi="Calibri"/>
          <w:kern w:val="1"/>
          <w:sz w:val="22"/>
          <w:szCs w:val="22"/>
          <w:lang w:eastAsia="ar-SA"/>
        </w:rPr>
        <w:t>tutor: Prof.</w:t>
      </w:r>
      <w:r>
        <w:rPr>
          <w:rFonts w:ascii="Calibri" w:hAnsi="Calibri"/>
          <w:sz w:val="22"/>
          <w:szCs w:val="22"/>
        </w:rPr>
        <w:t xml:space="preserve"> Giorgio Tassinari</w:t>
      </w:r>
    </w:p>
    <w:p w:rsidR="00BE7181" w:rsidRDefault="00BE7181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</w:p>
    <w:p w:rsidR="00BE7181" w:rsidRDefault="00BE7181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Piano di attività</w:t>
      </w:r>
    </w:p>
    <w:p w:rsidR="00BE7181" w:rsidRDefault="00BE7181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vincitore dell’assegno dovrà esaminare le fonti statistiche ufficiali sulle condizioni di vita delle famiglie successive all’inizio della pandemia, nonché quelle private, al fine di individuare i cambiamenti nel benessere delle famiglie e la ristrutturazione del loro sistema di preferenze. Per quanto riguarda il sistema delle imprese si investigherà in particolare il processo innovativo e la ridefinizione della divisione internazionale del lavoro.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</w:t>
      </w:r>
    </w:p>
    <w:p w:rsidR="00BE7181" w:rsidRDefault="00BE7181" w:rsidP="00752094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  <w:shd w:val="clear" w:color="auto" w:fill="FFFF99"/>
        </w:rPr>
      </w:pPr>
    </w:p>
    <w:p w:rsidR="00F74E40" w:rsidRDefault="00F74E40"/>
    <w:sectPr w:rsidR="00F74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94"/>
    <w:rsid w:val="00752094"/>
    <w:rsid w:val="009B2523"/>
    <w:rsid w:val="00BE7181"/>
    <w:rsid w:val="00F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DDA"/>
  <w15:chartTrackingRefBased/>
  <w15:docId w15:val="{33C669F3-BCAE-49A4-8F47-0FBBE88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Tassinari</dc:creator>
  <cp:keywords/>
  <dc:description/>
  <cp:lastModifiedBy>Giorgio Tassinari</cp:lastModifiedBy>
  <cp:revision>3</cp:revision>
  <dcterms:created xsi:type="dcterms:W3CDTF">2023-05-15T06:47:00Z</dcterms:created>
  <dcterms:modified xsi:type="dcterms:W3CDTF">2023-05-15T13:06:00Z</dcterms:modified>
</cp:coreProperties>
</file>